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eastAsia="Times New Roman" w:cs="Arial"/>
          <w:b/>
          <w:sz w:val="22"/>
          <w:szCs w:val="22"/>
        </w:rPr>
        <w:t>3GPP TSG-SA3 Meeting #11</w:t>
      </w:r>
      <w:r>
        <w:rPr>
          <w:rFonts w:hint="eastAsia" w:ascii="Arial" w:hAnsi="Arial" w:eastAsia="宋体" w:cs="Arial"/>
          <w:b/>
          <w:sz w:val="22"/>
          <w:szCs w:val="22"/>
          <w:lang w:val="en-US" w:eastAsia="zh-CN"/>
        </w:rPr>
        <w:t>9</w:t>
      </w:r>
      <w:r>
        <w:rPr>
          <w:rFonts w:ascii="Arial" w:hAnsi="Arial" w:eastAsia="Times New Roman" w:cs="Arial"/>
          <w:b/>
          <w:sz w:val="22"/>
          <w:szCs w:val="22"/>
        </w:rPr>
        <w:tab/>
      </w:r>
      <w:r>
        <w:rPr>
          <w:rFonts w:ascii="Arial" w:hAnsi="Arial" w:eastAsia="Times New Roman" w:cs="Arial"/>
          <w:b/>
          <w:sz w:val="22"/>
          <w:szCs w:val="22"/>
        </w:rPr>
        <w:t>S3-24</w:t>
      </w:r>
      <w:r>
        <w:rPr>
          <w:rFonts w:hint="eastAsia" w:ascii="Arial" w:hAnsi="Arial" w:eastAsia="宋体" w:cs="Arial"/>
          <w:b/>
          <w:sz w:val="22"/>
          <w:szCs w:val="22"/>
          <w:lang w:val="en-US" w:eastAsia="zh-CN"/>
        </w:rPr>
        <w:t>4749</w:t>
      </w:r>
    </w:p>
    <w:p>
      <w:pPr>
        <w:pStyle w:val="62"/>
        <w:rPr>
          <w:b w:val="0"/>
          <w:bCs/>
          <w:sz w:val="24"/>
        </w:rPr>
      </w:pPr>
      <w:r>
        <w:rPr>
          <w:rFonts w:hint="eastAsia" w:ascii="Arial" w:hAnsi="Arial" w:eastAsia="宋体" w:cs="Arial"/>
          <w:b/>
          <w:sz w:val="22"/>
          <w:szCs w:val="22"/>
          <w:lang w:val="en-US" w:eastAsia="zh-CN"/>
        </w:rPr>
        <w:t>Orlando</w:t>
      </w:r>
      <w:r>
        <w:rPr>
          <w:rFonts w:ascii="Arial" w:hAnsi="Arial" w:cs="Arial"/>
          <w:b/>
          <w:sz w:val="22"/>
          <w:szCs w:val="22"/>
        </w:rPr>
        <w:t xml:space="preserve">, </w:t>
      </w:r>
      <w:r>
        <w:rPr>
          <w:rFonts w:hint="eastAsia" w:ascii="Arial" w:hAnsi="Arial" w:eastAsia="宋体" w:cs="Arial"/>
          <w:b/>
          <w:sz w:val="22"/>
          <w:szCs w:val="22"/>
          <w:lang w:val="en-US" w:eastAsia="zh-CN"/>
        </w:rPr>
        <w:t>USA</w:t>
      </w:r>
      <w:r>
        <w:rPr>
          <w:rFonts w:ascii="Arial" w:hAnsi="Arial" w:cs="Arial"/>
          <w:b/>
          <w:sz w:val="22"/>
          <w:szCs w:val="22"/>
        </w:rPr>
        <w:t xml:space="preserve"> 1</w:t>
      </w:r>
      <w:r>
        <w:rPr>
          <w:rFonts w:hint="eastAsia" w:ascii="Arial" w:hAnsi="Arial" w:eastAsia="宋体" w:cs="Arial"/>
          <w:b/>
          <w:sz w:val="22"/>
          <w:szCs w:val="22"/>
          <w:lang w:val="en-US" w:eastAsia="zh-CN"/>
        </w:rPr>
        <w:t>1</w:t>
      </w:r>
      <w:r>
        <w:rPr>
          <w:rFonts w:ascii="Arial" w:hAnsi="Arial" w:cs="Arial"/>
          <w:b/>
          <w:sz w:val="22"/>
          <w:szCs w:val="22"/>
        </w:rPr>
        <w:t xml:space="preserve"> </w:t>
      </w:r>
      <w:r>
        <w:rPr>
          <w:rFonts w:hint="eastAsia" w:ascii="Arial" w:hAnsi="Arial" w:cs="Arial"/>
          <w:b/>
          <w:sz w:val="22"/>
          <w:szCs w:val="22"/>
          <w:lang w:val="en-US" w:eastAsia="zh-CN"/>
        </w:rPr>
        <w:t>-</w:t>
      </w:r>
      <w:r>
        <w:rPr>
          <w:rFonts w:ascii="Arial" w:hAnsi="Arial" w:cs="Arial"/>
          <w:b/>
          <w:sz w:val="22"/>
          <w:szCs w:val="22"/>
        </w:rPr>
        <w:t xml:space="preserve"> 1</w:t>
      </w:r>
      <w:r>
        <w:rPr>
          <w:rFonts w:hint="eastAsia" w:ascii="Arial" w:hAnsi="Arial" w:eastAsia="宋体" w:cs="Arial"/>
          <w:b/>
          <w:sz w:val="22"/>
          <w:szCs w:val="22"/>
          <w:lang w:val="en-US" w:eastAsia="zh-CN"/>
        </w:rPr>
        <w:t>5</w:t>
      </w:r>
      <w:r>
        <w:rPr>
          <w:rFonts w:ascii="Arial" w:hAnsi="Arial" w:cs="Arial"/>
          <w:b/>
          <w:sz w:val="22"/>
          <w:szCs w:val="22"/>
        </w:rPr>
        <w:t xml:space="preserve"> </w:t>
      </w:r>
      <w:r>
        <w:rPr>
          <w:rFonts w:hint="eastAsia" w:ascii="Arial" w:hAnsi="Arial" w:eastAsia="宋体" w:cs="Arial"/>
          <w:b/>
          <w:sz w:val="22"/>
          <w:szCs w:val="22"/>
          <w:lang w:val="en-US" w:eastAsia="zh-CN"/>
        </w:rPr>
        <w:t>November</w:t>
      </w:r>
      <w:r>
        <w:rPr>
          <w:rFonts w:eastAsia="Times New Roman" w:cs="Arial"/>
          <w:sz w:val="22"/>
          <w:szCs w:val="22"/>
        </w:rPr>
        <w:t xml:space="preserve">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bookmarkStart w:id="2" w:name="_GoBack"/>
            <w:r>
              <w:rPr>
                <w:rFonts w:hint="eastAsia" w:eastAsia="宋体"/>
                <w:b/>
                <w:sz w:val="28"/>
                <w:highlight w:val="none"/>
                <w:lang w:val="en-US" w:eastAsia="zh-CN"/>
              </w:rPr>
              <w:t>2067</w:t>
            </w:r>
            <w:bookmarkEnd w:id="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eastAsia"/>
                <w:b/>
                <w:sz w:val="28"/>
                <w:lang w:val="en-US" w:eastAsia="zh-CN"/>
              </w:rPr>
              <w:t>-</w:t>
            </w:r>
            <w:r>
              <w:rPr>
                <w:b/>
                <w:sz w:val="28"/>
              </w:rPr>
              <w:t xml:space="preserve"> </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t>Clarifications for HONTRA procedure with respect to failure cases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HN_Auth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11</w:t>
            </w:r>
            <w:r>
              <w:t>-</w:t>
            </w:r>
            <w:r>
              <w:rPr>
                <w:rFonts w:hint="eastAsia" w:eastAsia="宋体"/>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In agreed CR C4-244376, CT4 has agreed new</w:t>
            </w:r>
            <w:r>
              <w:t xml:space="preserve"> different types of failure causes</w:t>
            </w:r>
            <w:r>
              <w:rPr>
                <w:rFonts w:hint="eastAsia" w:eastAsia="宋体"/>
                <w:lang w:val="en-US" w:eastAsia="zh-CN"/>
              </w:rPr>
              <w:t xml:space="preserve"> </w:t>
            </w:r>
            <w:r>
              <w:t>for Reauth Notifications</w:t>
            </w:r>
            <w:r>
              <w:rPr>
                <w:rFonts w:hint="eastAsia" w:eastAsia="宋体"/>
                <w:lang w:val="en-US" w:eastAsia="zh-CN"/>
              </w:rPr>
              <w:t>.</w:t>
            </w:r>
            <w:r>
              <w:rPr>
                <w:rFonts w:hint="eastAsia"/>
                <w:lang w:val="en-US" w:eastAsia="zh-CN"/>
              </w:rPr>
              <w:t xml:space="preserve"> This CR is to align HONTRA procedure accordingly.</w:t>
            </w:r>
            <w:r>
              <w:t xml:space="preserve"> </w:t>
            </w:r>
          </w:p>
          <w:p>
            <w:pPr>
              <w:pStyle w:val="128"/>
              <w:spacing w:after="0"/>
              <w:ind w:left="100"/>
              <w:rPr>
                <w:rFonts w:hint="default" w:eastAsia="宋体"/>
                <w:lang w:val="en-US" w:eastAsia="zh-CN"/>
              </w:rPr>
            </w:pPr>
            <w:r>
              <w:rPr>
                <w:rFonts w:hint="eastAsia" w:eastAsia="宋体"/>
                <w:lang w:val="en-US" w:eastAsia="zh-CN"/>
              </w:rPr>
              <w:t xml:space="preserve">In received LS </w:t>
            </w:r>
            <w:r>
              <w:rPr>
                <w:rFonts w:hint="default" w:eastAsia="宋体"/>
                <w:lang w:val="en-US" w:eastAsia="zh-CN"/>
              </w:rPr>
              <w:t>C4-244496</w:t>
            </w:r>
            <w:r>
              <w:rPr>
                <w:rFonts w:hint="eastAsia" w:eastAsia="宋体"/>
                <w:lang w:val="en-US" w:eastAsia="zh-CN"/>
              </w:rPr>
              <w:t>/S3-2</w:t>
            </w:r>
            <w:r>
              <w:rPr>
                <w:rFonts w:hint="eastAsia" w:eastAsia="宋体"/>
                <w:highlight w:val="none"/>
                <w:lang w:val="en-US" w:eastAsia="zh-CN"/>
              </w:rPr>
              <w:t>44632</w:t>
            </w:r>
            <w:r>
              <w:rPr>
                <w:rFonts w:hint="eastAsia" w:eastAsia="宋体"/>
                <w:lang w:val="en-US" w:eastAsia="zh-CN"/>
              </w:rPr>
              <w:t>, there is</w:t>
            </w:r>
            <w:r>
              <w:rPr>
                <w:lang w:eastAsia="zh-CN"/>
              </w:rPr>
              <w:t xml:space="preserve"> confusion</w:t>
            </w:r>
            <w:r>
              <w:rPr>
                <w:rFonts w:hint="eastAsia"/>
                <w:lang w:val="en-US" w:eastAsia="zh-CN"/>
              </w:rPr>
              <w:t xml:space="preserve"> about case#5. This CR is also to clean up the HONTRA procedure to address the misalignment.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Clean up HONTRA procedure in response to LS case#5</w:t>
            </w:r>
          </w:p>
          <w:p>
            <w:pPr>
              <w:pStyle w:val="128"/>
              <w:spacing w:after="0"/>
              <w:ind w:left="100"/>
              <w:rPr>
                <w:rFonts w:hint="default" w:eastAsia="宋体"/>
                <w:lang w:val="en-US" w:eastAsia="zh-CN"/>
              </w:rPr>
            </w:pPr>
            <w:r>
              <w:rPr>
                <w:rFonts w:hint="eastAsia" w:eastAsia="宋体"/>
                <w:lang w:val="en-US" w:eastAsia="zh-CN"/>
              </w:rPr>
              <w:t>Update HONTRA procedure with new different types of failure causes for case#2.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Unclear specification. </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
    <w:p/>
    <w:p/>
    <w:p>
      <w:pPr>
        <w:jc w:val="center"/>
        <w:rPr>
          <w:color w:val="FF0000"/>
          <w:sz w:val="40"/>
          <w:szCs w:val="40"/>
        </w:rPr>
      </w:pPr>
      <w:r>
        <w:rPr>
          <w:color w:val="FF0000"/>
          <w:sz w:val="40"/>
          <w:szCs w:val="40"/>
        </w:rPr>
        <w:t>*** BEGIN CHANGES ***</w:t>
      </w:r>
    </w:p>
    <w:p>
      <w:pPr>
        <w:pStyle w:val="6"/>
      </w:pPr>
      <w:bookmarkStart w:id="1" w:name="_Toc178181203"/>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rPr>
          <w:lang w:eastAsia="zh-CN"/>
        </w:rPr>
        <w:drawing>
          <wp:inline distT="0" distB="0" distL="114300" distR="114300">
            <wp:extent cx="5438140" cy="4267835"/>
            <wp:effectExtent l="0" t="0" r="10160" b="12065"/>
            <wp:docPr id="1" name="图片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ONTRA"/>
                    <pic:cNvPicPr>
                      <a:picLocks noChangeAspect="1"/>
                    </pic:cNvPicPr>
                  </pic:nvPicPr>
                  <pic:blipFill>
                    <a:blip r:embed="rId9"/>
                    <a:srcRect b="5147"/>
                    <a:stretch>
                      <a:fillRect/>
                    </a:stretch>
                  </pic:blipFill>
                  <pic:spPr>
                    <a:xfrm>
                      <a:off x="0" y="0"/>
                      <a:ext cx="5438140" cy="4267835"/>
                    </a:xfrm>
                    <a:prstGeom prst="rect">
                      <a:avLst/>
                    </a:prstGeom>
                    <a:noFill/>
                    <a:ln>
                      <a:noFill/>
                    </a:ln>
                  </pic:spPr>
                </pic:pic>
              </a:graphicData>
            </a:graphic>
          </wp:inline>
        </w:drawing>
      </w:r>
    </w:p>
    <w:p>
      <w:pPr>
        <w:pStyle w:val="101"/>
        <w:rPr>
          <w:lang w:eastAsia="zh-CN"/>
        </w:rPr>
      </w:pPr>
      <w:r>
        <w:rPr>
          <w:rFonts w:hint="eastAsia"/>
          <w:lang w:eastAsia="zh-CN"/>
        </w:rPr>
        <w:t>F</w:t>
      </w:r>
      <w:r>
        <w:rPr>
          <w:lang w:eastAsia="zh-CN"/>
        </w:rPr>
        <w:t>igure 6.1.5.2-1 Home Network triggered primary authentication procedure</w:t>
      </w:r>
    </w:p>
    <w:p>
      <w:pPr>
        <w:rPr>
          <w:lang w:eastAsia="zh-CN"/>
        </w:rPr>
      </w:pPr>
      <w:r>
        <w:t>Step 0a and step 0b are the pre-requisites of the whole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 xml:space="preserve">Trigger request to the UDM for primary authentication using the UDM services as described in clause 14.2.6. The NF may send a Nudm_UECM_AuthTrigger Request message to the UDM with the SUPI of the target UE. </w:t>
      </w:r>
      <w:r>
        <w:rPr>
          <w:lang w:eastAsia="zh-CN"/>
        </w:rPr>
        <w:t xml:space="preserve">The UDM may acknowledge the request with an Nudm_UECM_AuthTrigger Response to the </w:t>
      </w:r>
      <w:r>
        <w:t>NF</w:t>
      </w:r>
      <w:r>
        <w:rPr>
          <w:lang w:eastAsia="zh-CN"/>
        </w:rPr>
        <w:t>.</w:t>
      </w:r>
    </w:p>
    <w:p>
      <w:pPr>
        <w:pStyle w:val="103"/>
        <w:rPr>
          <w:lang w:eastAsia="zh-CN"/>
        </w:rPr>
      </w:pPr>
      <w:r>
        <w:t>NOTE A:</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 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pStyle w:val="123"/>
        <w:ind w:left="567" w:firstLine="0"/>
        <w:rPr>
          <w:lang w:eastAsia="zh-CN"/>
        </w:rPr>
        <w:pPrChange w:id="0" w:author="ZTE-V1" w:date="2024-10-31T16:19:51Z">
          <w:pPr>
            <w:pStyle w:val="123"/>
          </w:pPr>
        </w:pPrChange>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NOTE 1:</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HPLMN does not support the SoR/UPU feature, then SoR/UPU counter wrap around will not happen, and primary authentication will not be required for this case. </w:t>
      </w: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ins w:id="1" w:author="ZTE-V1" w:date="2024-10-31T15:55:39Z"/>
          <w:lang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w:t>
      </w:r>
      <w:del w:id="2" w:author="ZTE-V1" w:date="2024-10-31T15:55:34Z">
        <w:r>
          <w:rPr>
            <w:lang w:eastAsia="zh-CN"/>
          </w:rPr>
          <w:delText xml:space="preserve"> (e.g.</w:delText>
        </w:r>
      </w:del>
      <w:del w:id="3" w:author="ZTE-V1" w:date="2024-10-31T15:55:34Z">
        <w:r>
          <w:rPr/>
          <w:delText xml:space="preserve"> </w:delText>
        </w:r>
      </w:del>
      <w:del w:id="4" w:author="ZTE-V1" w:date="2024-10-31T15:55:34Z">
        <w:r>
          <w:rPr>
            <w:lang w:eastAsia="zh-CN"/>
          </w:rPr>
          <w:delText>, if the UE is under handover, or if the UE is already under authentication by the AMF before receiving the authentication notification from the UDM)</w:delText>
        </w:r>
      </w:del>
      <w:r>
        <w:rPr>
          <w:lang w:eastAsia="zh-CN"/>
        </w:rPr>
        <w:t xml:space="preserve">. </w:t>
      </w:r>
    </w:p>
    <w:p>
      <w:pPr>
        <w:pStyle w:val="123"/>
        <w:ind w:left="567" w:firstLine="0"/>
        <w:rPr>
          <w:ins w:id="6" w:author="ZTE-V1" w:date="2024-10-31T16:10:48Z"/>
          <w:lang w:eastAsia="zh-CN"/>
        </w:rPr>
        <w:pPrChange w:id="5" w:author="ZTE-V1" w:date="2024-10-31T15:55:47Z">
          <w:pPr>
            <w:pStyle w:val="122"/>
          </w:pPr>
        </w:pPrChange>
      </w:pPr>
      <w:r>
        <w:rPr>
          <w:lang w:eastAsia="zh-CN"/>
        </w:rPr>
        <w:t>If the AMF/SEAF determines that it cannot run a primary authentication</w:t>
      </w:r>
      <w:del w:id="7" w:author="ZTE-V1" w:date="2024-10-31T15:58:18Z">
        <w:r>
          <w:rPr>
            <w:lang w:eastAsia="zh-CN"/>
          </w:rPr>
          <w:delText xml:space="preserve"> as described in step 4 (e.g.,</w:delText>
        </w:r>
      </w:del>
      <w:r>
        <w:rPr>
          <w:lang w:eastAsia="zh-CN"/>
        </w:rPr>
        <w:t xml:space="preserve"> due to local policy</w:t>
      </w:r>
      <w:ins w:id="8" w:author="ZTE-V1" w:date="2024-10-31T15:58:48Z">
        <w:r>
          <w:rPr>
            <w:rFonts w:hint="eastAsia"/>
            <w:lang w:val="en-US" w:eastAsia="zh-CN"/>
          </w:rPr>
          <w:t xml:space="preserve"> </w:t>
        </w:r>
      </w:ins>
      <w:ins w:id="9" w:author="ZTE-V1" w:date="2024-10-31T15:58:47Z">
        <w:r>
          <w:rPr>
            <w:lang w:eastAsia="zh-CN"/>
          </w:rPr>
          <w:t xml:space="preserve">or due to the UE being under handover </w:t>
        </w:r>
      </w:ins>
      <w:ins w:id="10" w:author="ZTE-V1" w:date="2024-10-31T15:59:15Z">
        <w:r>
          <w:rPr>
            <w:rFonts w:hint="eastAsia"/>
            <w:lang w:val="en-US" w:eastAsia="zh-CN"/>
          </w:rPr>
          <w:t xml:space="preserve">or </w:t>
        </w:r>
      </w:ins>
      <w:ins w:id="11" w:author="ZTE-V1" w:date="2024-10-31T15:59:19Z">
        <w:r>
          <w:rPr>
            <w:rFonts w:hint="eastAsia"/>
            <w:lang w:val="en-US" w:eastAsia="zh-CN"/>
          </w:rPr>
          <w:t>r</w:t>
        </w:r>
      </w:ins>
      <w:ins w:id="12" w:author="ZTE-V1" w:date="2024-10-31T15:59:20Z">
        <w:r>
          <w:rPr>
            <w:rFonts w:hint="eastAsia"/>
            <w:lang w:val="en-US" w:eastAsia="zh-CN"/>
          </w:rPr>
          <w:t>egist</w:t>
        </w:r>
      </w:ins>
      <w:ins w:id="13" w:author="ZTE-V1" w:date="2024-10-31T15:59:21Z">
        <w:r>
          <w:rPr>
            <w:rFonts w:hint="eastAsia"/>
            <w:lang w:val="en-US" w:eastAsia="zh-CN"/>
          </w:rPr>
          <w:t>ration</w:t>
        </w:r>
      </w:ins>
      <w:ins w:id="14" w:author="ZTE-V1" w:date="2024-10-31T15:59:22Z">
        <w:r>
          <w:rPr>
            <w:rFonts w:hint="eastAsia"/>
            <w:lang w:val="en-US" w:eastAsia="zh-CN"/>
          </w:rPr>
          <w:t xml:space="preserve"> </w:t>
        </w:r>
      </w:ins>
      <w:ins w:id="15" w:author="ZTE-V1" w:date="2024-10-31T15:58:47Z">
        <w:r>
          <w:rPr>
            <w:lang w:eastAsia="zh-CN"/>
          </w:rPr>
          <w:t>with AMF change</w:t>
        </w:r>
      </w:ins>
      <w:del w:id="16" w:author="ZTE-V1" w:date="2024-10-31T15:58:47Z">
        <w:r>
          <w:rPr>
            <w:lang w:eastAsia="zh-CN"/>
          </w:rPr>
          <w:delText>)</w:delText>
        </w:r>
      </w:del>
      <w:r>
        <w:rPr>
          <w:lang w:eastAsia="zh-CN"/>
        </w:rPr>
        <w:t>, the AMF</w:t>
      </w:r>
      <w:r>
        <w:rPr>
          <w:rFonts w:hint="eastAsia"/>
          <w:lang w:eastAsia="zh-CN"/>
        </w:rPr>
        <w:t>/</w:t>
      </w:r>
      <w:r>
        <w:rPr>
          <w:lang w:eastAsia="zh-CN"/>
        </w:rPr>
        <w:t xml:space="preserve">SEAF sends the authentication response message to the UDM with a failure cause else it acknowledges the request. </w:t>
      </w:r>
      <w:del w:id="17" w:author="ZTE-V1" w:date="2024-10-31T15:46:45Z">
        <w:r>
          <w:rPr>
            <w:lang w:eastAsia="zh-CN"/>
          </w:rPr>
          <w:delText xml:space="preserve">If the AMF/SEAF acknowledged the request but the AMF/SEAF is not able to initiate the primary authentication towards the UE (e.g. if UE is not reachable), the AMF/SEAF shall set the authentication pending flag. </w:delText>
        </w:r>
      </w:del>
    </w:p>
    <w:p>
      <w:pPr>
        <w:pStyle w:val="123"/>
        <w:ind w:left="567" w:firstLine="0"/>
        <w:rPr>
          <w:lang w:eastAsia="zh-CN"/>
        </w:rPr>
        <w:pPrChange w:id="18" w:author="ZTE-V1" w:date="2024-10-31T15:55:47Z">
          <w:pPr>
            <w:pStyle w:val="122"/>
          </w:pPr>
        </w:pPrChange>
      </w:pPr>
      <w:r>
        <w:rPr>
          <w:lang w:eastAsia="zh-CN"/>
        </w:rPr>
        <w:t>Upon receiving a failure from the AMF, the UDM may</w:t>
      </w:r>
      <w:ins w:id="19" w:author="ZTE-V1" w:date="2024-10-31T16:10:53Z">
        <w:r>
          <w:rPr>
            <w:rFonts w:hint="eastAsia"/>
            <w:lang w:val="en-US" w:eastAsia="zh-CN"/>
          </w:rPr>
          <w:t xml:space="preserve"> </w:t>
        </w:r>
      </w:ins>
      <w:ins w:id="20" w:author="ZTE-V1" w:date="2024-10-31T16:10:55Z">
        <w:r>
          <w:rPr>
            <w:rFonts w:hint="eastAsia"/>
            <w:lang w:val="en-US" w:eastAsia="zh-CN"/>
          </w:rPr>
          <w:t>wait</w:t>
        </w:r>
      </w:ins>
      <w:ins w:id="21" w:author="ZTE-V1" w:date="2024-10-31T16:10:57Z">
        <w:r>
          <w:rPr>
            <w:rFonts w:hint="eastAsia"/>
            <w:lang w:val="en-US" w:eastAsia="zh-CN"/>
          </w:rPr>
          <w:t xml:space="preserve"> befo</w:t>
        </w:r>
      </w:ins>
      <w:ins w:id="22" w:author="ZTE-V1" w:date="2024-10-31T16:10:58Z">
        <w:r>
          <w:rPr>
            <w:rFonts w:hint="eastAsia"/>
            <w:lang w:val="en-US" w:eastAsia="zh-CN"/>
          </w:rPr>
          <w:t>re</w:t>
        </w:r>
      </w:ins>
      <w:r>
        <w:rPr>
          <w:lang w:eastAsia="zh-CN"/>
        </w:rPr>
        <w:t xml:space="preserve"> check</w:t>
      </w:r>
      <w:ins w:id="23" w:author="ZTE-V1" w:date="2024-10-31T16:11:00Z">
        <w:r>
          <w:rPr>
            <w:rFonts w:hint="eastAsia"/>
            <w:lang w:val="en-US" w:eastAsia="zh-CN"/>
          </w:rPr>
          <w:t>ing</w:t>
        </w:r>
      </w:ins>
      <w:r>
        <w:rPr>
          <w:lang w:eastAsia="zh-CN"/>
        </w:rPr>
        <w:t xml:space="preserve"> if another AMF is available over the other access</w:t>
      </w:r>
      <w:del w:id="24" w:author="ZTE-V1" w:date="2024-10-31T16:11:41Z">
        <w:r>
          <w:rPr>
            <w:rFonts w:hint="default"/>
            <w:lang w:val="en-US" w:eastAsia="zh-CN"/>
          </w:rPr>
          <w:delText>. If available, the UDM may select another AMF and</w:delText>
        </w:r>
      </w:del>
      <w:ins w:id="25" w:author="ZTE-V1" w:date="2024-10-31T16:11:41Z">
        <w:r>
          <w:rPr>
            <w:rFonts w:hint="eastAsia"/>
            <w:lang w:val="en-US" w:eastAsia="zh-CN"/>
          </w:rPr>
          <w:t xml:space="preserve"> </w:t>
        </w:r>
      </w:ins>
      <w:ins w:id="26" w:author="ZTE-V1" w:date="2024-10-31T16:11:42Z">
        <w:r>
          <w:rPr>
            <w:rFonts w:hint="eastAsia"/>
            <w:lang w:val="en-US" w:eastAsia="zh-CN"/>
          </w:rPr>
          <w:t>in</w:t>
        </w:r>
      </w:ins>
      <w:ins w:id="27" w:author="ZTE-V1" w:date="2024-10-31T16:11:45Z">
        <w:r>
          <w:rPr>
            <w:rFonts w:hint="eastAsia"/>
            <w:lang w:val="en-US" w:eastAsia="zh-CN"/>
          </w:rPr>
          <w:t xml:space="preserve"> or</w:t>
        </w:r>
      </w:ins>
      <w:ins w:id="28" w:author="ZTE-V1" w:date="2024-10-31T16:11:46Z">
        <w:r>
          <w:rPr>
            <w:rFonts w:hint="eastAsia"/>
            <w:lang w:val="en-US" w:eastAsia="zh-CN"/>
          </w:rPr>
          <w:t>der to</w:t>
        </w:r>
      </w:ins>
      <w:r>
        <w:rPr>
          <w:lang w:eastAsia="zh-CN"/>
        </w:rPr>
        <w:t xml:space="preserve"> retry Step 2.</w:t>
      </w:r>
    </w:p>
    <w:p>
      <w:pPr>
        <w:pStyle w:val="122"/>
        <w:rPr>
          <w:lang w:val="en-US" w:eastAsia="zh-CN"/>
        </w:rPr>
      </w:pPr>
      <w:r>
        <w:rPr>
          <w:lang w:eastAsia="zh-CN"/>
        </w:rPr>
        <w:tab/>
      </w:r>
      <w:ins w:id="29" w:author="ZTE-V1" w:date="2024-10-31T15:46:48Z">
        <w:r>
          <w:rPr>
            <w:lang w:eastAsia="zh-CN"/>
          </w:rPr>
          <w:t xml:space="preserve">If the AMF/SEAF acknowledged the request but the AMF/SEAF is not able to initiate the primary authentication towards the UE (e.g. if UE is not reachable), the AMF/SEAF shall set the authentication pending flag. </w:t>
        </w:r>
      </w:ins>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del w:id="30" w:author="ZTE-V1" w:date="2024-10-31T15:47:42Z"/>
          <w:lang w:val="en-US" w:eastAsia="zh-CN"/>
        </w:rPr>
      </w:pPr>
      <w:r>
        <w:rPr>
          <w:lang w:val="en-US" w:eastAsia="zh-CN"/>
        </w:rPr>
        <w:t>NOTE 2:</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03"/>
        <w:rPr>
          <w:lang w:eastAsia="zh-CN"/>
        </w:rPr>
      </w:pP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pPr>
        <w:pStyle w:val="123"/>
        <w:ind w:left="567" w:firstLine="0"/>
        <w:pPrChange w:id="31" w:author="ZTE-V1" w:date="2024-10-31T15:48:06Z">
          <w:pPr>
            <w:pStyle w:val="123"/>
          </w:pPr>
        </w:pPrChange>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rPr>
          <w:color w:val="FF0000"/>
          <w:sz w:val="40"/>
          <w:szCs w:val="40"/>
        </w:rPr>
        <w:sectPr>
          <w:headerReference r:id="rId4" w:type="even"/>
          <w:footnotePr>
            <w:numRestart w:val="eachSect"/>
          </w:footnotePr>
          <w:pgSz w:w="11907" w:h="16840"/>
          <w:pgMar w:top="1418" w:right="1134" w:bottom="1134" w:left="1134" w:header="680" w:footer="567" w:gutter="0"/>
          <w:cols w:space="720" w:num="1"/>
        </w:sectPr>
      </w:pPr>
      <w:r>
        <w:rPr>
          <w:color w:val="FF0000"/>
          <w:sz w:val="40"/>
          <w:szCs w:val="40"/>
        </w:rPr>
        <w:t>*** END OF CHANGES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2D"/>
    <w:rsid w:val="0000292B"/>
    <w:rsid w:val="00022E4A"/>
    <w:rsid w:val="00086DA7"/>
    <w:rsid w:val="000A6394"/>
    <w:rsid w:val="000A7ABC"/>
    <w:rsid w:val="000B7FED"/>
    <w:rsid w:val="000C038A"/>
    <w:rsid w:val="000C2F3E"/>
    <w:rsid w:val="000C6598"/>
    <w:rsid w:val="000D44B3"/>
    <w:rsid w:val="000E014D"/>
    <w:rsid w:val="00145D43"/>
    <w:rsid w:val="00156BE0"/>
    <w:rsid w:val="00157BF4"/>
    <w:rsid w:val="00166162"/>
    <w:rsid w:val="00175F3C"/>
    <w:rsid w:val="00192C46"/>
    <w:rsid w:val="0019655B"/>
    <w:rsid w:val="001A08B3"/>
    <w:rsid w:val="001A7B60"/>
    <w:rsid w:val="001B52F0"/>
    <w:rsid w:val="001B7A65"/>
    <w:rsid w:val="001C1132"/>
    <w:rsid w:val="001E41F3"/>
    <w:rsid w:val="001E56F2"/>
    <w:rsid w:val="00243D22"/>
    <w:rsid w:val="0026004D"/>
    <w:rsid w:val="002640DD"/>
    <w:rsid w:val="00275D12"/>
    <w:rsid w:val="00284FEB"/>
    <w:rsid w:val="002860C4"/>
    <w:rsid w:val="002B5741"/>
    <w:rsid w:val="002E2474"/>
    <w:rsid w:val="002E472E"/>
    <w:rsid w:val="00302A94"/>
    <w:rsid w:val="00305409"/>
    <w:rsid w:val="0032607F"/>
    <w:rsid w:val="003308E9"/>
    <w:rsid w:val="0034108E"/>
    <w:rsid w:val="00350956"/>
    <w:rsid w:val="003609EF"/>
    <w:rsid w:val="0036231A"/>
    <w:rsid w:val="00374DD4"/>
    <w:rsid w:val="003A38E3"/>
    <w:rsid w:val="003A7B2F"/>
    <w:rsid w:val="003C2C8D"/>
    <w:rsid w:val="003C2DBE"/>
    <w:rsid w:val="003E1A36"/>
    <w:rsid w:val="003E5B74"/>
    <w:rsid w:val="003E6662"/>
    <w:rsid w:val="003F4008"/>
    <w:rsid w:val="00410371"/>
    <w:rsid w:val="004242F1"/>
    <w:rsid w:val="00432FF2"/>
    <w:rsid w:val="00462D19"/>
    <w:rsid w:val="004714A7"/>
    <w:rsid w:val="00482288"/>
    <w:rsid w:val="004A52C6"/>
    <w:rsid w:val="004B49A4"/>
    <w:rsid w:val="004B75B7"/>
    <w:rsid w:val="004D5235"/>
    <w:rsid w:val="004D6B7C"/>
    <w:rsid w:val="004E52BE"/>
    <w:rsid w:val="005009D9"/>
    <w:rsid w:val="0051580D"/>
    <w:rsid w:val="00526260"/>
    <w:rsid w:val="00546764"/>
    <w:rsid w:val="00547111"/>
    <w:rsid w:val="00550765"/>
    <w:rsid w:val="00592D74"/>
    <w:rsid w:val="005A3D72"/>
    <w:rsid w:val="005D6C61"/>
    <w:rsid w:val="005E2C44"/>
    <w:rsid w:val="005F04C0"/>
    <w:rsid w:val="00621188"/>
    <w:rsid w:val="006257ED"/>
    <w:rsid w:val="0065536E"/>
    <w:rsid w:val="00665C47"/>
    <w:rsid w:val="00695808"/>
    <w:rsid w:val="00695A6C"/>
    <w:rsid w:val="006B46FB"/>
    <w:rsid w:val="006C7533"/>
    <w:rsid w:val="006E21FB"/>
    <w:rsid w:val="006F099C"/>
    <w:rsid w:val="00785599"/>
    <w:rsid w:val="00792342"/>
    <w:rsid w:val="007977A8"/>
    <w:rsid w:val="007B41D0"/>
    <w:rsid w:val="007B512A"/>
    <w:rsid w:val="007C2097"/>
    <w:rsid w:val="007D6A07"/>
    <w:rsid w:val="007E38D0"/>
    <w:rsid w:val="007F1C5C"/>
    <w:rsid w:val="007F7259"/>
    <w:rsid w:val="00801861"/>
    <w:rsid w:val="008040A8"/>
    <w:rsid w:val="008279FA"/>
    <w:rsid w:val="008626E7"/>
    <w:rsid w:val="00870EE7"/>
    <w:rsid w:val="00880A55"/>
    <w:rsid w:val="008863B9"/>
    <w:rsid w:val="0088765D"/>
    <w:rsid w:val="008878B1"/>
    <w:rsid w:val="00887DA0"/>
    <w:rsid w:val="008A45A6"/>
    <w:rsid w:val="008B7764"/>
    <w:rsid w:val="008D39FE"/>
    <w:rsid w:val="008F3789"/>
    <w:rsid w:val="008F686C"/>
    <w:rsid w:val="009148DE"/>
    <w:rsid w:val="00921737"/>
    <w:rsid w:val="00941E30"/>
    <w:rsid w:val="009740F1"/>
    <w:rsid w:val="009777D9"/>
    <w:rsid w:val="00991376"/>
    <w:rsid w:val="00991B88"/>
    <w:rsid w:val="009A4CB5"/>
    <w:rsid w:val="009A5753"/>
    <w:rsid w:val="009A579D"/>
    <w:rsid w:val="009E3297"/>
    <w:rsid w:val="009F734F"/>
    <w:rsid w:val="00A045FC"/>
    <w:rsid w:val="00A1069F"/>
    <w:rsid w:val="00A11F8F"/>
    <w:rsid w:val="00A246B6"/>
    <w:rsid w:val="00A47E70"/>
    <w:rsid w:val="00A50CF0"/>
    <w:rsid w:val="00A7671C"/>
    <w:rsid w:val="00A9344C"/>
    <w:rsid w:val="00AA2CBC"/>
    <w:rsid w:val="00AA3B82"/>
    <w:rsid w:val="00AC5820"/>
    <w:rsid w:val="00AD1CD8"/>
    <w:rsid w:val="00AF24B7"/>
    <w:rsid w:val="00B13F88"/>
    <w:rsid w:val="00B258BB"/>
    <w:rsid w:val="00B40A70"/>
    <w:rsid w:val="00B4437D"/>
    <w:rsid w:val="00B51200"/>
    <w:rsid w:val="00B529BF"/>
    <w:rsid w:val="00B557FA"/>
    <w:rsid w:val="00B570A7"/>
    <w:rsid w:val="00B67B97"/>
    <w:rsid w:val="00B93CDE"/>
    <w:rsid w:val="00B968C8"/>
    <w:rsid w:val="00BA3EC5"/>
    <w:rsid w:val="00BA51D9"/>
    <w:rsid w:val="00BB5DFC"/>
    <w:rsid w:val="00BD279D"/>
    <w:rsid w:val="00BD6BB8"/>
    <w:rsid w:val="00BF4E98"/>
    <w:rsid w:val="00C12D8A"/>
    <w:rsid w:val="00C54E01"/>
    <w:rsid w:val="00C61B35"/>
    <w:rsid w:val="00C660CA"/>
    <w:rsid w:val="00C66BA2"/>
    <w:rsid w:val="00C95985"/>
    <w:rsid w:val="00CB748C"/>
    <w:rsid w:val="00CC5026"/>
    <w:rsid w:val="00CC68D0"/>
    <w:rsid w:val="00CF5C18"/>
    <w:rsid w:val="00D03F9A"/>
    <w:rsid w:val="00D06D51"/>
    <w:rsid w:val="00D24991"/>
    <w:rsid w:val="00D50255"/>
    <w:rsid w:val="00D55BE4"/>
    <w:rsid w:val="00D56C8A"/>
    <w:rsid w:val="00D66520"/>
    <w:rsid w:val="00D9340F"/>
    <w:rsid w:val="00DC13B3"/>
    <w:rsid w:val="00DC50EB"/>
    <w:rsid w:val="00DD2CE8"/>
    <w:rsid w:val="00DE34CF"/>
    <w:rsid w:val="00E13607"/>
    <w:rsid w:val="00E13F3D"/>
    <w:rsid w:val="00E17DB0"/>
    <w:rsid w:val="00E339EB"/>
    <w:rsid w:val="00E34898"/>
    <w:rsid w:val="00E423B6"/>
    <w:rsid w:val="00E55C56"/>
    <w:rsid w:val="00E71FFB"/>
    <w:rsid w:val="00E82E65"/>
    <w:rsid w:val="00EB09B7"/>
    <w:rsid w:val="00EB7D15"/>
    <w:rsid w:val="00ED7370"/>
    <w:rsid w:val="00EE7D7C"/>
    <w:rsid w:val="00EF4837"/>
    <w:rsid w:val="00F16501"/>
    <w:rsid w:val="00F25D98"/>
    <w:rsid w:val="00F300FB"/>
    <w:rsid w:val="00F66E47"/>
    <w:rsid w:val="00F86191"/>
    <w:rsid w:val="00F90539"/>
    <w:rsid w:val="00FB6386"/>
    <w:rsid w:val="00FD01D7"/>
    <w:rsid w:val="00FE6521"/>
    <w:rsid w:val="083B3FF0"/>
    <w:rsid w:val="110A2686"/>
    <w:rsid w:val="170D6B50"/>
    <w:rsid w:val="22575788"/>
    <w:rsid w:val="27656C2A"/>
    <w:rsid w:val="3F205C6F"/>
    <w:rsid w:val="53337393"/>
    <w:rsid w:val="53CB1B85"/>
    <w:rsid w:val="5B6E7789"/>
    <w:rsid w:val="5B8604F5"/>
    <w:rsid w:val="5FBD1662"/>
    <w:rsid w:val="64BB5C82"/>
    <w:rsid w:val="6A6041F2"/>
    <w:rsid w:val="738F63AC"/>
    <w:rsid w:val="7F7817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65"/>
    <w:qFormat/>
    <w:uiPriority w:val="0"/>
    <w:pPr>
      <w:keepNext w:val="0"/>
      <w:spacing w:before="0" w:after="240"/>
    </w:pPr>
  </w:style>
  <w:style w:type="paragraph" w:customStyle="1" w:styleId="102">
    <w:name w:val="TH"/>
    <w:basedOn w:val="1"/>
    <w:link w:val="164"/>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link w:val="166"/>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uiPriority w:val="0"/>
    <w:rPr>
      <w:rFonts w:ascii="Times New Roman" w:hAnsi="Times New Roman"/>
      <w:lang w:val="en-GB" w:eastAsia="en-US"/>
    </w:rPr>
  </w:style>
  <w:style w:type="character" w:customStyle="1" w:styleId="163">
    <w:name w:val="B1 Char1"/>
    <w:link w:val="122"/>
    <w:qFormat/>
    <w:locked/>
    <w:uiPriority w:val="0"/>
    <w:rPr>
      <w:rFonts w:ascii="Times New Roman" w:hAnsi="Times New Roman"/>
      <w:lang w:val="en-GB" w:eastAsia="en-US"/>
    </w:rPr>
  </w:style>
  <w:style w:type="character" w:customStyle="1" w:styleId="164">
    <w:name w:val="TH Char"/>
    <w:link w:val="102"/>
    <w:qFormat/>
    <w:uiPriority w:val="0"/>
    <w:rPr>
      <w:rFonts w:ascii="Arial" w:hAnsi="Arial"/>
      <w:b/>
      <w:lang w:val="en-GB" w:eastAsia="en-US"/>
    </w:rPr>
  </w:style>
  <w:style w:type="character" w:customStyle="1" w:styleId="165">
    <w:name w:val="TF (文字)"/>
    <w:link w:val="101"/>
    <w:qFormat/>
    <w:uiPriority w:val="0"/>
    <w:rPr>
      <w:rFonts w:ascii="Arial" w:hAnsi="Arial"/>
      <w:b/>
      <w:lang w:val="en-GB" w:eastAsia="en-US"/>
    </w:rPr>
  </w:style>
  <w:style w:type="character" w:customStyle="1" w:styleId="166">
    <w:name w:val="B2 Char"/>
    <w:link w:val="123"/>
    <w:qFormat/>
    <w:uiPriority w:val="0"/>
    <w:rPr>
      <w:rFonts w:ascii="Times New Roman" w:hAnsi="Times New Roman"/>
      <w:lang w:val="en-GB" w:eastAsia="en-US"/>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1142</Words>
  <Characters>6842</Characters>
  <Lines>57</Lines>
  <Paragraphs>15</Paragraphs>
  <TotalTime>20</TotalTime>
  <ScaleCrop>false</ScaleCrop>
  <LinksUpToDate>false</LinksUpToDate>
  <CharactersWithSpaces>7969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2024-05-13T12:47:00Z</dcterms:created>
  <dc:creator>ZTE-r3</dc:creator>
  <cp:lastModifiedBy>ZTE-V1</cp:lastModifiedBy>
  <dcterms:modified xsi:type="dcterms:W3CDTF">2024-11-04T06:26:19Z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4AE49940ED1F48A18045DA14507692E2</vt:lpwstr>
  </property>
</Properties>
</file>